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D" w:rsidRPr="00F87942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  <w:lang w:val="pl-PL"/>
        </w:rPr>
      </w:pPr>
      <w:r w:rsidRPr="00F87942">
        <w:rPr>
          <w:rFonts w:asciiTheme="minorHAnsi" w:hAnsiTheme="minorHAnsi" w:cstheme="minorHAnsi"/>
          <w:b/>
          <w:i/>
          <w:lang w:val="pl-PL"/>
        </w:rPr>
        <w:tab/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</w:rPr>
      </w:pPr>
      <w:r w:rsidRPr="00F87942">
        <w:rPr>
          <w:rFonts w:asciiTheme="minorHAnsi" w:hAnsiTheme="minorHAnsi" w:cstheme="minorHAnsi"/>
          <w:b/>
          <w:color w:val="auto"/>
        </w:rPr>
        <w:t>KARTA PRZEDMIOTU</w:t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F87942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F87942" w:rsidRDefault="009F3D06" w:rsidP="00DC32D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378" w:rsidRPr="00972996" w:rsidRDefault="003F0378" w:rsidP="003F037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 (B2+)</w:t>
            </w:r>
          </w:p>
          <w:p w:rsidR="00F500DD" w:rsidRPr="00F87942" w:rsidRDefault="003F0378" w:rsidP="003F037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2996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 </w:t>
            </w: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541E43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7310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edagogika specjalna</w:t>
            </w:r>
            <w:bookmarkStart w:id="0" w:name="_GoBack"/>
            <w:bookmarkEnd w:id="0"/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9F3D06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stacjonarne/niestacjonarne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9F3D06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6" w:rsidRPr="00F87942" w:rsidRDefault="009F3D06" w:rsidP="009F3D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6" w:rsidRPr="00F87942" w:rsidRDefault="003A0C8A" w:rsidP="009F3D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Praktyczny/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</w:t>
            </w: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gólnouczelniany</w:t>
            </w:r>
          </w:p>
        </w:tc>
      </w:tr>
      <w:tr w:rsidR="003A0C8A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mgr </w:t>
            </w:r>
            <w:r w:rsidR="007310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Anna Słońska</w:t>
            </w:r>
          </w:p>
        </w:tc>
      </w:tr>
      <w:tr w:rsidR="003A0C8A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73109D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5" w:history="1">
              <w:r w:rsidR="003A0C8A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9F3D06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Angielski/Niemiecki/Rosyjski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A27C8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2F7577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Pr="00F87942" w:rsidRDefault="006766B7" w:rsidP="006766B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1. 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</w:p>
          <w:p w:rsidR="00F500DD" w:rsidRPr="00F87942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 wg ESOKJ.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6766B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1.Teksty popularnonaukowe z dziedziny studiowanego kierunku studi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obcojęzyczne.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029B7" w:rsidRPr="00F87942" w:rsidRDefault="006029B7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733635" w:rsidRPr="00F87942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F8794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F87942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9F3D06" w:rsidRPr="009C582F" w:rsidRDefault="009F3D06" w:rsidP="009F3D06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F87942" w:rsidRDefault="009F3D06" w:rsidP="009F3D06">
            <w:pPr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F87942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F87942" w:rsidRDefault="00733635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2E77D6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838"/>
      </w:tblGrid>
      <w:tr w:rsidR="002E77D6" w:rsidRPr="00F87942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6" w:rsidRPr="002E77D6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BC6B8E" w:rsidRPr="00F87942" w:rsidTr="00F87942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F87942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9F3D06" w:rsidRDefault="00BC6B8E" w:rsidP="009F3D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F87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</w:tbl>
    <w:p w:rsidR="00B101EF" w:rsidRPr="00D003C2" w:rsidRDefault="00B101EF" w:rsidP="00B101EF">
      <w:pPr>
        <w:rPr>
          <w:rFonts w:ascii="Calibri" w:hAnsi="Calibri" w:cs="Calibri"/>
          <w:b/>
          <w:color w:val="auto"/>
          <w:sz w:val="20"/>
          <w:szCs w:val="20"/>
        </w:rPr>
      </w:pPr>
    </w:p>
    <w:p w:rsidR="00B101EF" w:rsidRPr="00D003C2" w:rsidRDefault="00B101EF" w:rsidP="00B101EF">
      <w:pPr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003C2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B101EF" w:rsidRPr="00D003C2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 w:val="20"/>
                <w:szCs w:val="16"/>
              </w:rPr>
              <w:t>Sposoby weryfikacji osiągnięcia przedmiotowych efektów uczenia się</w:t>
            </w:r>
          </w:p>
        </w:tc>
      </w:tr>
      <w:tr w:rsidR="00B101EF" w:rsidRPr="00D003C2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Sposób weryfikacji (+/-)</w:t>
            </w:r>
          </w:p>
        </w:tc>
      </w:tr>
      <w:tr w:rsidR="00B101EF" w:rsidRPr="00D003C2" w:rsidTr="00614436">
        <w:trPr>
          <w:trHeight w:val="400"/>
        </w:trPr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 xml:space="preserve">Egzamin </w:t>
            </w:r>
            <w:r w:rsidR="00D8450E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Praca własna</w:t>
            </w:r>
          </w:p>
        </w:tc>
      </w:tr>
      <w:tr w:rsidR="00B101EF" w:rsidRPr="00D003C2" w:rsidTr="00614436"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</w:t>
            </w:r>
            <w:r w:rsidR="00B101EF" w:rsidRPr="00DC722A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D8450E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722A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002115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101EF" w:rsidRDefault="00B101EF" w:rsidP="00B101EF">
      <w:pPr>
        <w:rPr>
          <w:rFonts w:ascii="Calibri" w:hAnsi="Calibri" w:cs="Calibri"/>
          <w:color w:val="auto"/>
        </w:rPr>
      </w:pPr>
    </w:p>
    <w:p w:rsidR="00B101EF" w:rsidRDefault="00B101EF" w:rsidP="00B101EF">
      <w:pPr>
        <w:rPr>
          <w:rFonts w:ascii="Calibri" w:hAnsi="Calibri" w:cs="Calibri"/>
          <w:color w:val="auto"/>
        </w:rPr>
      </w:pPr>
    </w:p>
    <w:tbl>
      <w:tblPr>
        <w:tblW w:w="1000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F87942" w:rsidRPr="00F87942" w:rsidTr="00F87942">
        <w:trPr>
          <w:trHeight w:val="22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942" w:rsidRPr="00F87942" w:rsidRDefault="00F87942" w:rsidP="002E77D6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F87942" w:rsidRPr="00F87942" w:rsidTr="00F87942">
        <w:trPr>
          <w:trHeight w:val="4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9F3D06" w:rsidRPr="00F87942" w:rsidTr="00F87942">
        <w:trPr>
          <w:trHeight w:val="45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</w:t>
            </w: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ektorat</w:t>
            </w:r>
          </w:p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F92B2A" w:rsidRPr="002E77D6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E77D6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F87942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14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956218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015E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</w:t>
            </w:r>
            <w:r w:rsid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</w:tr>
    </w:tbl>
    <w:p w:rsidR="00F92B2A" w:rsidRPr="00F87942" w:rsidRDefault="00F92B2A" w:rsidP="00A851FA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4"/>
          <w:szCs w:val="24"/>
          <w:u w:color="0000FF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16"/>
          <w:szCs w:val="16"/>
        </w:rPr>
      </w:pP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Przyjmuję</w:t>
      </w:r>
      <w:proofErr w:type="spellEnd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 xml:space="preserve"> do </w:t>
      </w: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realizacji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  (data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czytelne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podpisy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os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2962FB">
        <w:rPr>
          <w:rFonts w:ascii="Calibri" w:hAnsi="Calibri" w:cs="Calibri"/>
          <w:i/>
          <w:iCs/>
          <w:sz w:val="16"/>
          <w:szCs w:val="16"/>
        </w:rPr>
        <w:t xml:space="preserve">b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prowadzących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przedmiot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w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danym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roku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akademickim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>)</w:t>
      </w: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</w:rPr>
      </w:pP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  <w:t xml:space="preserve">             </w:t>
      </w:r>
      <w:r w:rsidRPr="002962FB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:rsidR="00F500DD" w:rsidRPr="00F87942" w:rsidRDefault="00F500DD" w:rsidP="00F500DD">
      <w:pPr>
        <w:rPr>
          <w:rFonts w:asciiTheme="minorHAnsi" w:hAnsiTheme="minorHAnsi" w:cstheme="minorHAnsi"/>
          <w:color w:val="auto"/>
        </w:rPr>
      </w:pPr>
    </w:p>
    <w:sectPr w:rsidR="00F500DD" w:rsidRPr="00F87942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15E6C"/>
    <w:rsid w:val="00043E9C"/>
    <w:rsid w:val="00124FAA"/>
    <w:rsid w:val="00154C16"/>
    <w:rsid w:val="00164E94"/>
    <w:rsid w:val="001C7D53"/>
    <w:rsid w:val="00221767"/>
    <w:rsid w:val="00265970"/>
    <w:rsid w:val="002D0065"/>
    <w:rsid w:val="002E77D6"/>
    <w:rsid w:val="002F7577"/>
    <w:rsid w:val="00306D51"/>
    <w:rsid w:val="00316F1E"/>
    <w:rsid w:val="00330683"/>
    <w:rsid w:val="0038721A"/>
    <w:rsid w:val="003A0C8A"/>
    <w:rsid w:val="003B6961"/>
    <w:rsid w:val="003F0378"/>
    <w:rsid w:val="00403C4A"/>
    <w:rsid w:val="004229CB"/>
    <w:rsid w:val="00443FB8"/>
    <w:rsid w:val="004614D9"/>
    <w:rsid w:val="00464622"/>
    <w:rsid w:val="00541E43"/>
    <w:rsid w:val="006029B7"/>
    <w:rsid w:val="00614436"/>
    <w:rsid w:val="0063678E"/>
    <w:rsid w:val="006766B7"/>
    <w:rsid w:val="006D4224"/>
    <w:rsid w:val="006F53FB"/>
    <w:rsid w:val="0073109D"/>
    <w:rsid w:val="00733635"/>
    <w:rsid w:val="00802384"/>
    <w:rsid w:val="0084173F"/>
    <w:rsid w:val="00956218"/>
    <w:rsid w:val="00972996"/>
    <w:rsid w:val="009D7BE7"/>
    <w:rsid w:val="009F3D06"/>
    <w:rsid w:val="00A851FA"/>
    <w:rsid w:val="00B101EF"/>
    <w:rsid w:val="00B462C4"/>
    <w:rsid w:val="00BC6B8E"/>
    <w:rsid w:val="00D8450E"/>
    <w:rsid w:val="00F05695"/>
    <w:rsid w:val="00F500DD"/>
    <w:rsid w:val="00F85F39"/>
    <w:rsid w:val="00F87942"/>
    <w:rsid w:val="00F92B2A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277F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character" w:styleId="Hipercze">
    <w:name w:val="Hyperlink"/>
    <w:basedOn w:val="Domylnaczcionkaakapitu"/>
    <w:uiPriority w:val="99"/>
    <w:unhideWhenUsed/>
    <w:rsid w:val="009F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 Sobieraj</cp:lastModifiedBy>
  <cp:revision>2</cp:revision>
  <dcterms:created xsi:type="dcterms:W3CDTF">2023-11-20T11:22:00Z</dcterms:created>
  <dcterms:modified xsi:type="dcterms:W3CDTF">2023-11-20T11:22:00Z</dcterms:modified>
</cp:coreProperties>
</file>